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82D" w:rsidRPr="005F582D" w:rsidRDefault="005F582D" w:rsidP="005F582D">
      <w:pPr>
        <w:keepNext/>
        <w:keepLines/>
        <w:spacing w:before="480" w:after="0" w:line="276" w:lineRule="auto"/>
        <w:outlineLvl w:val="0"/>
        <w:rPr>
          <w:rFonts w:ascii="Cambria" w:eastAsia="Times New Roman" w:hAnsi="Cambria" w:cs="Times New Roman"/>
          <w:b/>
          <w:bCs/>
          <w:color w:val="000000"/>
          <w:sz w:val="28"/>
          <w:szCs w:val="28"/>
        </w:rPr>
      </w:pPr>
      <w:r w:rsidRPr="005F582D">
        <w:rPr>
          <w:rFonts w:ascii="Cambria" w:eastAsia="Times New Roman" w:hAnsi="Cambria" w:cs="Times New Roman"/>
          <w:b/>
          <w:bCs/>
          <w:color w:val="000000"/>
          <w:sz w:val="28"/>
          <w:szCs w:val="28"/>
        </w:rPr>
        <w:t>Prairie (</w:t>
      </w:r>
      <w:proofErr w:type="spellStart"/>
      <w:r w:rsidRPr="005F582D">
        <w:rPr>
          <w:rFonts w:ascii="Cambria" w:eastAsia="Times New Roman" w:hAnsi="Cambria" w:cs="Times New Roman"/>
          <w:b/>
          <w:bCs/>
          <w:color w:val="000000"/>
          <w:sz w:val="28"/>
          <w:szCs w:val="28"/>
        </w:rPr>
        <w:t>Mima</w:t>
      </w:r>
      <w:proofErr w:type="spellEnd"/>
      <w:r w:rsidRPr="005F582D">
        <w:rPr>
          <w:rFonts w:ascii="Cambria" w:eastAsia="Times New Roman" w:hAnsi="Cambria" w:cs="Times New Roman"/>
          <w:b/>
          <w:bCs/>
          <w:color w:val="000000"/>
          <w:sz w:val="28"/>
          <w:szCs w:val="28"/>
        </w:rPr>
        <w:t>) mounds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 xml:space="preserve">Prairie mounds were observed near and southeast of The </w:t>
      </w:r>
      <w:proofErr w:type="spellStart"/>
      <w:r w:rsidRPr="005F582D">
        <w:rPr>
          <w:rFonts w:ascii="Calibri" w:eastAsia="Calibri" w:hAnsi="Calibri" w:cs="Times New Roman"/>
          <w:color w:val="000000"/>
        </w:rPr>
        <w:t>Dalles</w:t>
      </w:r>
      <w:proofErr w:type="spellEnd"/>
      <w:r w:rsidRPr="005F582D">
        <w:rPr>
          <w:rFonts w:ascii="Calibri" w:eastAsia="Calibri" w:hAnsi="Calibri" w:cs="Times New Roman"/>
          <w:color w:val="000000"/>
        </w:rPr>
        <w:t xml:space="preserve"> as early as 1873 (</w:t>
      </w:r>
      <w:proofErr w:type="spellStart"/>
      <w:r w:rsidRPr="005F582D">
        <w:rPr>
          <w:rFonts w:ascii="Calibri" w:eastAsia="Calibri" w:hAnsi="Calibri" w:cs="Times New Roman"/>
          <w:color w:val="000000"/>
        </w:rPr>
        <w:t>LeConte</w:t>
      </w:r>
      <w:proofErr w:type="spellEnd"/>
      <w:r w:rsidRPr="005F582D">
        <w:rPr>
          <w:rFonts w:ascii="Calibri" w:eastAsia="Calibri" w:hAnsi="Calibri" w:cs="Times New Roman"/>
          <w:color w:val="000000"/>
        </w:rPr>
        <w:t xml:space="preserve"> via Johnson, 2012). Also known as “patterned ground” or “biscuit scabland”. </w:t>
      </w:r>
    </w:p>
    <w:p w:rsidR="005F582D" w:rsidRPr="005F582D" w:rsidRDefault="005F582D" w:rsidP="005F582D">
      <w:pPr>
        <w:spacing w:after="200" w:line="276" w:lineRule="auto"/>
        <w:rPr>
          <w:rFonts w:ascii="Calibri" w:eastAsia="Calibri" w:hAnsi="Calibri" w:cs="Times New Roman"/>
          <w:color w:val="000000"/>
        </w:rPr>
      </w:pPr>
      <w:proofErr w:type="spellStart"/>
      <w:r w:rsidRPr="005F582D">
        <w:rPr>
          <w:rFonts w:ascii="Calibri" w:eastAsia="Calibri" w:hAnsi="Calibri" w:cs="Times New Roman"/>
          <w:color w:val="000000"/>
        </w:rPr>
        <w:t>LeConte</w:t>
      </w:r>
      <w:proofErr w:type="spellEnd"/>
      <w:r w:rsidRPr="005F582D">
        <w:rPr>
          <w:rFonts w:ascii="Calibri" w:eastAsia="Calibri" w:hAnsi="Calibri" w:cs="Times New Roman"/>
          <w:color w:val="000000"/>
        </w:rPr>
        <w:t xml:space="preserve"> (1874), from Johnson (2012):</w:t>
      </w:r>
    </w:p>
    <w:p w:rsidR="005F582D" w:rsidRPr="005F582D" w:rsidRDefault="005F582D" w:rsidP="005F582D">
      <w:pPr>
        <w:spacing w:after="200" w:line="276" w:lineRule="auto"/>
        <w:rPr>
          <w:rFonts w:ascii="Calibri" w:eastAsia="Calibri" w:hAnsi="Calibri" w:cs="Times New Roman"/>
          <w:i/>
          <w:color w:val="000000"/>
        </w:rPr>
      </w:pPr>
      <w:r w:rsidRPr="005F582D">
        <w:rPr>
          <w:rFonts w:ascii="Calibri" w:eastAsia="Calibri" w:hAnsi="Calibri" w:cs="Times New Roman"/>
          <w:color w:val="000000"/>
        </w:rPr>
        <w:t>“</w:t>
      </w:r>
      <w:r w:rsidRPr="005F582D">
        <w:rPr>
          <w:rFonts w:ascii="Calibri" w:eastAsia="Calibri" w:hAnsi="Calibri" w:cs="Times New Roman"/>
          <w:i/>
          <w:color w:val="000000"/>
        </w:rPr>
        <w:t xml:space="preserve">The whole rolling country between </w:t>
      </w:r>
      <w:proofErr w:type="gramStart"/>
      <w:r w:rsidRPr="005F582D">
        <w:rPr>
          <w:rFonts w:ascii="Calibri" w:eastAsia="Calibri" w:hAnsi="Calibri" w:cs="Times New Roman"/>
          <w:i/>
          <w:color w:val="000000"/>
        </w:rPr>
        <w:t>the</w:t>
      </w:r>
      <w:proofErr w:type="gramEnd"/>
      <w:r w:rsidRPr="005F582D">
        <w:rPr>
          <w:rFonts w:ascii="Calibri" w:eastAsia="Calibri" w:hAnsi="Calibri" w:cs="Times New Roman"/>
          <w:i/>
          <w:color w:val="000000"/>
        </w:rPr>
        <w:t xml:space="preserve"> </w:t>
      </w:r>
      <w:proofErr w:type="spellStart"/>
      <w:r w:rsidRPr="005F582D">
        <w:rPr>
          <w:rFonts w:ascii="Calibri" w:eastAsia="Calibri" w:hAnsi="Calibri" w:cs="Times New Roman"/>
          <w:i/>
          <w:color w:val="000000"/>
        </w:rPr>
        <w:t>Dalles</w:t>
      </w:r>
      <w:proofErr w:type="spellEnd"/>
      <w:r w:rsidRPr="005F582D">
        <w:rPr>
          <w:rFonts w:ascii="Calibri" w:eastAsia="Calibri" w:hAnsi="Calibri" w:cs="Times New Roman"/>
          <w:i/>
          <w:color w:val="000000"/>
        </w:rPr>
        <w:t xml:space="preserve"> and the upper bridge of Des Chutes River, a distance of about thirty miles, is literally covered with these mounds. From every eminence the whole face of the country, as far as the eye could reach, presented a singular appearance, as if thickly broken out with a popular eruption. But the true key to their mode of formation is given here, as it was not at Mound Prairie, by the great variety of forms, sizes, and degrees of regularity which they assume. They varied in size from scarcely detectable pimples to mounds five feet high, and forty feet diameter at the base, and in form from circular through elliptic and long-elliptic to ordinary hill-side erosion-furrows and ridges. In regularity of size and position, there was equal diversity; in some places being as complete as at Mound Prairie, i.e., they were all apparently of the same size, and touched each other at base; in other places they were of different sizes, and often separated by wide pebble-covered spaces, as if they were but the remnants of a general erosion of the surface-soil. Thus on the one hand, portions of many square miles in extent were covered with mounds as large and as regular as any portion of Mound Prairie, and evidence produced by the same cause: on the other hand, other portions were marked only by long hill-side furrows and ridges, evidently produced by surface erosion; and between these extremes every stage of gradation could be traced.</w:t>
      </w:r>
      <w:r w:rsidRPr="005F582D">
        <w:rPr>
          <w:rFonts w:ascii="Calibri" w:eastAsia="Calibri" w:hAnsi="Calibri" w:cs="Times New Roman"/>
          <w:color w:val="000000"/>
        </w:rPr>
        <w:t>”</w:t>
      </w: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 xml:space="preserve">The origin of prairie mounds is uncertain and Green (1982) suggests a </w:t>
      </w:r>
      <w:proofErr w:type="spellStart"/>
      <w:r w:rsidRPr="005F582D">
        <w:rPr>
          <w:rFonts w:ascii="Calibri" w:eastAsia="Calibri" w:hAnsi="Calibri" w:cs="Times New Roman"/>
          <w:color w:val="000000"/>
        </w:rPr>
        <w:t>periglacial</w:t>
      </w:r>
      <w:proofErr w:type="spellEnd"/>
      <w:r w:rsidRPr="005F582D">
        <w:rPr>
          <w:rFonts w:ascii="Calibri" w:eastAsia="Calibri" w:hAnsi="Calibri" w:cs="Times New Roman"/>
          <w:color w:val="000000"/>
        </w:rPr>
        <w:t xml:space="preserve"> origin for the mounds of Wasco County where 1) contraction-crack polygons form in frozen ground, 2) ice wedges form in the voids (polygon edges), and 3) The ice wedges melt and their runoff erodes and modifies the polygons or mounds. Green (1982) describes the mounds as round or elongated, erosion-modified, and underlain by basalt at a depth of 2-3 feet (60-90 cm) with a profile that is less defined, lighter-colored, and better drained than in adjacent soils, but similar to Condon series soils (well-drained, neutral, silt loam over basalt bedrock). Green (1982) attributes the weak profile development to mixing during frost-heaving that incorporated poorly sorted basalt fragments into the soil. Mounds are generally found on flat or gently sloping topography.</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Green also describes “stone nets” that encircle some mounds and stone polygons in scabland areas that he attributes to contraction-crack ice-wedge processes based in part on the work of Richmond (1949) in the Wind River Range. These stone nets and polygons consist of various sized basalt fragments as large as 60 cm in diameter.  On steep slopes, the stone nets and polygons form sorted strips of rock fragments.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lastRenderedPageBreak/>
        <w:t>Green (1982), Wasco County soils:</w:t>
      </w:r>
    </w:p>
    <w:p w:rsidR="005F582D" w:rsidRPr="005F582D" w:rsidRDefault="005F582D" w:rsidP="005F582D">
      <w:pPr>
        <w:spacing w:after="200" w:line="276" w:lineRule="auto"/>
        <w:rPr>
          <w:rFonts w:ascii="Calibri" w:eastAsia="Calibri" w:hAnsi="Calibri" w:cs="Times New Roman"/>
          <w:color w:val="000000"/>
        </w:rPr>
      </w:pPr>
      <w:proofErr w:type="spellStart"/>
      <w:r w:rsidRPr="005F582D">
        <w:rPr>
          <w:rFonts w:ascii="Calibri" w:eastAsia="Calibri" w:hAnsi="Calibri" w:cs="Times New Roman"/>
          <w:color w:val="000000"/>
        </w:rPr>
        <w:t>Bakeoven-Watama</w:t>
      </w:r>
      <w:proofErr w:type="spellEnd"/>
      <w:r w:rsidRPr="005F582D">
        <w:rPr>
          <w:rFonts w:ascii="Calibri" w:eastAsia="Calibri" w:hAnsi="Calibri" w:cs="Times New Roman"/>
          <w:color w:val="000000"/>
        </w:rPr>
        <w:t xml:space="preserve"> complex 0-12 percent slopes: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 xml:space="preserve">“The </w:t>
      </w:r>
      <w:proofErr w:type="spellStart"/>
      <w:r w:rsidRPr="005F582D">
        <w:rPr>
          <w:rFonts w:ascii="Calibri" w:eastAsia="Calibri" w:hAnsi="Calibri" w:cs="Times New Roman"/>
          <w:color w:val="000000"/>
        </w:rPr>
        <w:t>Watama</w:t>
      </w:r>
      <w:proofErr w:type="spellEnd"/>
      <w:r w:rsidRPr="005F582D">
        <w:rPr>
          <w:rFonts w:ascii="Calibri" w:eastAsia="Calibri" w:hAnsi="Calibri" w:cs="Times New Roman"/>
          <w:color w:val="000000"/>
        </w:rPr>
        <w:t xml:space="preserve"> soil is in circular mounds that have a convex surface. The soil near the center of the mound is deeper to bedrock than near the edges. Where the slope is more than 10 percent, the </w:t>
      </w:r>
      <w:proofErr w:type="spellStart"/>
      <w:r w:rsidRPr="005F582D">
        <w:rPr>
          <w:rFonts w:ascii="Calibri" w:eastAsia="Calibri" w:hAnsi="Calibri" w:cs="Times New Roman"/>
          <w:color w:val="000000"/>
        </w:rPr>
        <w:t>Watama</w:t>
      </w:r>
      <w:proofErr w:type="spellEnd"/>
      <w:r w:rsidRPr="005F582D">
        <w:rPr>
          <w:rFonts w:ascii="Calibri" w:eastAsia="Calibri" w:hAnsi="Calibri" w:cs="Times New Roman"/>
          <w:color w:val="000000"/>
        </w:rPr>
        <w:t xml:space="preserve"> soil commonly occurs as elongated mounds and the long axis is downslope. The mounds are 15 to 40 feet in diameter and about 25 feet apart. The </w:t>
      </w:r>
      <w:proofErr w:type="spellStart"/>
      <w:r w:rsidRPr="005F582D">
        <w:rPr>
          <w:rFonts w:ascii="Calibri" w:eastAsia="Calibri" w:hAnsi="Calibri" w:cs="Times New Roman"/>
          <w:color w:val="000000"/>
        </w:rPr>
        <w:t>Bakeoven</w:t>
      </w:r>
      <w:proofErr w:type="spellEnd"/>
      <w:r w:rsidRPr="005F582D">
        <w:rPr>
          <w:rFonts w:ascii="Calibri" w:eastAsia="Calibri" w:hAnsi="Calibri" w:cs="Times New Roman"/>
          <w:color w:val="000000"/>
        </w:rPr>
        <w:t xml:space="preserve"> soil has a profile similar to the one described as representative of the series, but is very stony.”</w:t>
      </w:r>
    </w:p>
    <w:p w:rsidR="005F582D" w:rsidRPr="005F582D" w:rsidRDefault="005F582D" w:rsidP="005F582D">
      <w:pPr>
        <w:spacing w:after="200" w:line="276" w:lineRule="auto"/>
        <w:rPr>
          <w:rFonts w:ascii="Calibri" w:eastAsia="Calibri" w:hAnsi="Calibri" w:cs="Times New Roman"/>
          <w:color w:val="000000"/>
        </w:rPr>
      </w:pPr>
      <w:proofErr w:type="spellStart"/>
      <w:r w:rsidRPr="005F582D">
        <w:rPr>
          <w:rFonts w:ascii="Calibri" w:eastAsia="Calibri" w:hAnsi="Calibri" w:cs="Times New Roman"/>
          <w:color w:val="000000"/>
        </w:rPr>
        <w:t>Wamic</w:t>
      </w:r>
      <w:proofErr w:type="spellEnd"/>
      <w:r w:rsidRPr="005F582D">
        <w:rPr>
          <w:rFonts w:ascii="Calibri" w:eastAsia="Calibri" w:hAnsi="Calibri" w:cs="Times New Roman"/>
          <w:color w:val="000000"/>
        </w:rPr>
        <w:t>-Skyline complex 2-20 percent slopes: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w:t>
      </w:r>
      <w:proofErr w:type="gramStart"/>
      <w:r w:rsidRPr="005F582D">
        <w:rPr>
          <w:rFonts w:ascii="Calibri" w:eastAsia="Calibri" w:hAnsi="Calibri" w:cs="Times New Roman"/>
          <w:color w:val="000000"/>
        </w:rPr>
        <w:t>about</w:t>
      </w:r>
      <w:proofErr w:type="gramEnd"/>
      <w:r w:rsidRPr="005F582D">
        <w:rPr>
          <w:rFonts w:ascii="Calibri" w:eastAsia="Calibri" w:hAnsi="Calibri" w:cs="Times New Roman"/>
          <w:color w:val="000000"/>
        </w:rPr>
        <w:t xml:space="preserve"> 46 to 70 percent a </w:t>
      </w:r>
      <w:proofErr w:type="spellStart"/>
      <w:r w:rsidRPr="005F582D">
        <w:rPr>
          <w:rFonts w:ascii="Calibri" w:eastAsia="Calibri" w:hAnsi="Calibri" w:cs="Times New Roman"/>
          <w:color w:val="000000"/>
        </w:rPr>
        <w:t>Wamic</w:t>
      </w:r>
      <w:proofErr w:type="spellEnd"/>
      <w:r w:rsidRPr="005F582D">
        <w:rPr>
          <w:rFonts w:ascii="Calibri" w:eastAsia="Calibri" w:hAnsi="Calibri" w:cs="Times New Roman"/>
          <w:color w:val="000000"/>
        </w:rPr>
        <w:t xml:space="preserve"> loam and about 16 to 40 percent a Skyline very </w:t>
      </w:r>
      <w:proofErr w:type="spellStart"/>
      <w:r w:rsidRPr="005F582D">
        <w:rPr>
          <w:rFonts w:ascii="Calibri" w:eastAsia="Calibri" w:hAnsi="Calibri" w:cs="Times New Roman"/>
          <w:color w:val="000000"/>
        </w:rPr>
        <w:t>cobbly</w:t>
      </w:r>
      <w:proofErr w:type="spellEnd"/>
      <w:r w:rsidRPr="005F582D">
        <w:rPr>
          <w:rFonts w:ascii="Calibri" w:eastAsia="Calibri" w:hAnsi="Calibri" w:cs="Times New Roman"/>
          <w:color w:val="000000"/>
        </w:rPr>
        <w:t xml:space="preserve"> loam. The </w:t>
      </w:r>
      <w:proofErr w:type="spellStart"/>
      <w:r w:rsidRPr="005F582D">
        <w:rPr>
          <w:rFonts w:ascii="Calibri" w:eastAsia="Calibri" w:hAnsi="Calibri" w:cs="Times New Roman"/>
          <w:color w:val="000000"/>
        </w:rPr>
        <w:t>Wamic</w:t>
      </w:r>
      <w:proofErr w:type="spellEnd"/>
      <w:r w:rsidRPr="005F582D">
        <w:rPr>
          <w:rFonts w:ascii="Calibri" w:eastAsia="Calibri" w:hAnsi="Calibri" w:cs="Times New Roman"/>
          <w:color w:val="000000"/>
        </w:rPr>
        <w:t xml:space="preserve"> soil is on ridgetops or side slopes in circular or elongated mounds. The Skyline soil is in areas where the ridgetops break off into canyons.”</w:t>
      </w:r>
    </w:p>
    <w:p w:rsidR="005F582D" w:rsidRPr="005F582D" w:rsidRDefault="005F582D" w:rsidP="005F582D">
      <w:pPr>
        <w:spacing w:after="200" w:line="276" w:lineRule="auto"/>
        <w:rPr>
          <w:rFonts w:ascii="Calibri" w:eastAsia="Calibri" w:hAnsi="Calibri" w:cs="Times New Roman"/>
          <w:color w:val="000000"/>
        </w:rPr>
      </w:pPr>
      <w:proofErr w:type="spellStart"/>
      <w:r w:rsidRPr="005F582D">
        <w:rPr>
          <w:rFonts w:ascii="Calibri" w:eastAsia="Calibri" w:hAnsi="Calibri" w:cs="Times New Roman"/>
          <w:color w:val="000000"/>
        </w:rPr>
        <w:t>Wamic</w:t>
      </w:r>
      <w:proofErr w:type="spellEnd"/>
      <w:r w:rsidRPr="005F582D">
        <w:rPr>
          <w:rFonts w:ascii="Calibri" w:eastAsia="Calibri" w:hAnsi="Calibri" w:cs="Times New Roman"/>
          <w:color w:val="000000"/>
        </w:rPr>
        <w:t xml:space="preserve"> series: well-drained soils formed in volcanic ash and loess overlying alluvium or colluvium weathered from basalt or andesite on uplands. The representative profile is very dark grayish brown loam about 7 inches thick. Subsoil is dark brown loam about 21 inches thick and substratum is dark brown heavy loam 16 or more inches thick. Soil material throughout the profile is neutral.</w:t>
      </w:r>
    </w:p>
    <w:p w:rsidR="005F582D" w:rsidRPr="005F582D" w:rsidRDefault="005F582D" w:rsidP="005F582D">
      <w:pPr>
        <w:keepNext/>
        <w:keepLines/>
        <w:spacing w:before="200" w:after="0" w:line="276" w:lineRule="auto"/>
        <w:outlineLvl w:val="1"/>
        <w:rPr>
          <w:rFonts w:ascii="Cambria" w:eastAsia="Times New Roman" w:hAnsi="Cambria" w:cs="Times New Roman"/>
          <w:b/>
          <w:bCs/>
          <w:color w:val="000000"/>
          <w:sz w:val="26"/>
          <w:szCs w:val="26"/>
        </w:rPr>
      </w:pPr>
      <w:r w:rsidRPr="005F582D">
        <w:rPr>
          <w:rFonts w:ascii="Cambria" w:eastAsia="Times New Roman" w:hAnsi="Cambria" w:cs="Times New Roman"/>
          <w:b/>
          <w:bCs/>
          <w:color w:val="000000"/>
          <w:sz w:val="26"/>
          <w:szCs w:val="26"/>
        </w:rPr>
        <w:t>Mound formation hypotheses:</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Burrows of pocket gopher (or other animals?)</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Tree throw</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Wind</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Contraction-crack polygon ice wedging</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Erosion during peculiar circumstances (</w:t>
      </w:r>
      <w:proofErr w:type="spellStart"/>
      <w:r w:rsidRPr="005F582D">
        <w:rPr>
          <w:rFonts w:ascii="Calibri" w:eastAsia="Calibri" w:hAnsi="Calibri" w:cs="Times New Roman"/>
          <w:color w:val="000000"/>
        </w:rPr>
        <w:t>LeConte</w:t>
      </w:r>
      <w:proofErr w:type="spellEnd"/>
      <w:r w:rsidRPr="005F582D">
        <w:rPr>
          <w:rFonts w:ascii="Calibri" w:eastAsia="Calibri" w:hAnsi="Calibri" w:cs="Times New Roman"/>
          <w:color w:val="000000"/>
        </w:rPr>
        <w:t>)</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Seismic shaking</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Anthropogenic (pre-contact)</w:t>
      </w:r>
    </w:p>
    <w:p w:rsidR="005F582D" w:rsidRPr="005F582D" w:rsidRDefault="005F582D" w:rsidP="005F582D">
      <w:pPr>
        <w:numPr>
          <w:ilvl w:val="0"/>
          <w:numId w:val="1"/>
        </w:numPr>
        <w:spacing w:after="200" w:line="276" w:lineRule="auto"/>
        <w:contextualSpacing/>
        <w:rPr>
          <w:rFonts w:ascii="Calibri" w:eastAsia="Calibri" w:hAnsi="Calibri" w:cs="Times New Roman"/>
          <w:color w:val="000000"/>
        </w:rPr>
      </w:pPr>
    </w:p>
    <w:p w:rsidR="005F582D" w:rsidRPr="005F582D" w:rsidRDefault="005F582D" w:rsidP="005F582D">
      <w:pPr>
        <w:keepNext/>
        <w:keepLines/>
        <w:spacing w:before="200" w:after="0" w:line="276" w:lineRule="auto"/>
        <w:outlineLvl w:val="1"/>
        <w:rPr>
          <w:rFonts w:ascii="Cambria" w:eastAsia="Times New Roman" w:hAnsi="Cambria" w:cs="Times New Roman"/>
          <w:b/>
          <w:bCs/>
          <w:color w:val="000000"/>
          <w:sz w:val="26"/>
          <w:szCs w:val="26"/>
        </w:rPr>
      </w:pPr>
      <w:r w:rsidRPr="005F582D">
        <w:rPr>
          <w:rFonts w:ascii="Cambria" w:eastAsia="Times New Roman" w:hAnsi="Cambria" w:cs="Times New Roman"/>
          <w:b/>
          <w:bCs/>
          <w:color w:val="000000"/>
          <w:sz w:val="26"/>
          <w:szCs w:val="26"/>
        </w:rPr>
        <w:t>Differing styles of mound fields</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Near perfect symmetry</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Elongated/coalescing (on sloping surface?)</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Varying sizes with similar symmetry</w:t>
      </w:r>
    </w:p>
    <w:p w:rsidR="005F582D" w:rsidRPr="005F582D" w:rsidRDefault="005F582D" w:rsidP="005F582D">
      <w:pPr>
        <w:numPr>
          <w:ilvl w:val="1"/>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NE 1/4 Sec 6, SE of </w:t>
      </w:r>
      <w:proofErr w:type="spellStart"/>
      <w:r w:rsidRPr="005F582D">
        <w:rPr>
          <w:rFonts w:ascii="Calibri" w:eastAsia="Calibri" w:hAnsi="Calibri" w:cs="Times New Roman"/>
          <w:color w:val="000000"/>
        </w:rPr>
        <w:t>Dufur</w:t>
      </w:r>
      <w:proofErr w:type="spellEnd"/>
      <w:r w:rsidRPr="005F582D">
        <w:rPr>
          <w:rFonts w:ascii="Calibri" w:eastAsia="Calibri" w:hAnsi="Calibri" w:cs="Times New Roman"/>
          <w:color w:val="000000"/>
        </w:rPr>
        <w:t xml:space="preserve"> near Mays Canyon and Dry </w:t>
      </w:r>
      <w:proofErr w:type="spellStart"/>
      <w:r w:rsidRPr="005F582D">
        <w:rPr>
          <w:rFonts w:ascii="Calibri" w:eastAsia="Calibri" w:hAnsi="Calibri" w:cs="Times New Roman"/>
          <w:color w:val="000000"/>
        </w:rPr>
        <w:t>Ck</w:t>
      </w:r>
      <w:proofErr w:type="spellEnd"/>
      <w:r w:rsidRPr="005F582D">
        <w:rPr>
          <w:rFonts w:ascii="Calibri" w:eastAsia="Calibri" w:hAnsi="Calibri" w:cs="Times New Roman"/>
          <w:color w:val="000000"/>
        </w:rPr>
        <w:t xml:space="preserve"> confluence</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Variable size and variable shape</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Regularly spaced similar size, sloping surface</w:t>
      </w:r>
    </w:p>
    <w:p w:rsidR="005F582D" w:rsidRPr="005F582D" w:rsidRDefault="005F582D" w:rsidP="005F582D">
      <w:pPr>
        <w:numPr>
          <w:ilvl w:val="1"/>
          <w:numId w:val="2"/>
        </w:numPr>
        <w:spacing w:after="200" w:line="276" w:lineRule="auto"/>
        <w:contextualSpacing/>
        <w:rPr>
          <w:rFonts w:ascii="Calibri" w:eastAsia="Calibri" w:hAnsi="Calibri" w:cs="Times New Roman"/>
          <w:color w:val="000000"/>
        </w:rPr>
      </w:pPr>
      <w:proofErr w:type="spellStart"/>
      <w:r w:rsidRPr="005F582D">
        <w:rPr>
          <w:rFonts w:ascii="Calibri" w:eastAsia="Calibri" w:hAnsi="Calibri" w:cs="Times New Roman"/>
          <w:color w:val="000000"/>
        </w:rPr>
        <w:t>Fifteenmile</w:t>
      </w:r>
      <w:proofErr w:type="spellEnd"/>
      <w:r w:rsidRPr="005F582D">
        <w:rPr>
          <w:rFonts w:ascii="Calibri" w:eastAsia="Calibri" w:hAnsi="Calibri" w:cs="Times New Roman"/>
          <w:color w:val="000000"/>
        </w:rPr>
        <w:t xml:space="preserve"> </w:t>
      </w:r>
      <w:proofErr w:type="spellStart"/>
      <w:r w:rsidRPr="005F582D">
        <w:rPr>
          <w:rFonts w:ascii="Calibri" w:eastAsia="Calibri" w:hAnsi="Calibri" w:cs="Times New Roman"/>
          <w:color w:val="000000"/>
        </w:rPr>
        <w:t>Ck</w:t>
      </w:r>
      <w:proofErr w:type="spellEnd"/>
      <w:r w:rsidRPr="005F582D">
        <w:rPr>
          <w:rFonts w:ascii="Calibri" w:eastAsia="Calibri" w:hAnsi="Calibri" w:cs="Times New Roman"/>
          <w:color w:val="000000"/>
        </w:rPr>
        <w:t xml:space="preserve"> Below Rice</w:t>
      </w:r>
    </w:p>
    <w:p w:rsidR="005F582D" w:rsidRPr="005F582D" w:rsidRDefault="005F582D" w:rsidP="005F582D">
      <w:pPr>
        <w:numPr>
          <w:ilvl w:val="1"/>
          <w:numId w:val="2"/>
        </w:numPr>
        <w:spacing w:after="200" w:line="276" w:lineRule="auto"/>
        <w:contextualSpacing/>
        <w:rPr>
          <w:rFonts w:ascii="Calibri" w:eastAsia="Calibri" w:hAnsi="Calibri" w:cs="Times New Roman"/>
          <w:color w:val="000000"/>
        </w:rPr>
      </w:pPr>
      <w:proofErr w:type="spellStart"/>
      <w:r w:rsidRPr="005F582D">
        <w:rPr>
          <w:rFonts w:ascii="Calibri" w:eastAsia="Calibri" w:hAnsi="Calibri" w:cs="Times New Roman"/>
          <w:color w:val="000000"/>
        </w:rPr>
        <w:t>Fifteenmile</w:t>
      </w:r>
      <w:proofErr w:type="spellEnd"/>
      <w:r w:rsidRPr="005F582D">
        <w:rPr>
          <w:rFonts w:ascii="Calibri" w:eastAsia="Calibri" w:hAnsi="Calibri" w:cs="Times New Roman"/>
          <w:color w:val="000000"/>
        </w:rPr>
        <w:t xml:space="preserve"> </w:t>
      </w:r>
      <w:proofErr w:type="spellStart"/>
      <w:r w:rsidRPr="005F582D">
        <w:rPr>
          <w:rFonts w:ascii="Calibri" w:eastAsia="Calibri" w:hAnsi="Calibri" w:cs="Times New Roman"/>
          <w:color w:val="000000"/>
        </w:rPr>
        <w:t>est</w:t>
      </w:r>
      <w:proofErr w:type="spellEnd"/>
      <w:r w:rsidRPr="005F582D">
        <w:rPr>
          <w:rFonts w:ascii="Calibri" w:eastAsia="Calibri" w:hAnsi="Calibri" w:cs="Times New Roman"/>
          <w:color w:val="000000"/>
        </w:rPr>
        <w:t xml:space="preserve"> of Signal Hill and above Petersburg</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Terrace-like surfaces</w:t>
      </w:r>
    </w:p>
    <w:p w:rsidR="005F582D" w:rsidRPr="005F582D" w:rsidRDefault="005F582D" w:rsidP="005F582D">
      <w:pPr>
        <w:numPr>
          <w:ilvl w:val="1"/>
          <w:numId w:val="2"/>
        </w:numPr>
        <w:spacing w:after="200" w:line="276" w:lineRule="auto"/>
        <w:contextualSpacing/>
        <w:rPr>
          <w:rFonts w:ascii="Calibri" w:eastAsia="Calibri" w:hAnsi="Calibri" w:cs="Times New Roman"/>
          <w:color w:val="000000"/>
        </w:rPr>
      </w:pPr>
      <w:proofErr w:type="spellStart"/>
      <w:r w:rsidRPr="005F582D">
        <w:rPr>
          <w:rFonts w:ascii="Calibri" w:eastAsia="Calibri" w:hAnsi="Calibri" w:cs="Times New Roman"/>
          <w:color w:val="000000"/>
        </w:rPr>
        <w:t>Fifteenmile</w:t>
      </w:r>
      <w:proofErr w:type="spellEnd"/>
      <w:r w:rsidRPr="005F582D">
        <w:rPr>
          <w:rFonts w:ascii="Calibri" w:eastAsia="Calibri" w:hAnsi="Calibri" w:cs="Times New Roman"/>
          <w:color w:val="000000"/>
        </w:rPr>
        <w:t xml:space="preserve"> Ck. Below Rice</w:t>
      </w:r>
    </w:p>
    <w:p w:rsidR="005F582D" w:rsidRPr="005F582D" w:rsidRDefault="005F582D" w:rsidP="005F582D">
      <w:pPr>
        <w:numPr>
          <w:ilvl w:val="1"/>
          <w:numId w:val="2"/>
        </w:numPr>
        <w:spacing w:after="200" w:line="276" w:lineRule="auto"/>
        <w:contextualSpacing/>
        <w:rPr>
          <w:rFonts w:ascii="Calibri" w:eastAsia="Calibri" w:hAnsi="Calibri" w:cs="Times New Roman"/>
          <w:color w:val="000000"/>
        </w:rPr>
      </w:pPr>
      <w:proofErr w:type="spellStart"/>
      <w:r w:rsidRPr="005F582D">
        <w:rPr>
          <w:rFonts w:ascii="Calibri" w:eastAsia="Calibri" w:hAnsi="Calibri" w:cs="Times New Roman"/>
          <w:color w:val="000000"/>
        </w:rPr>
        <w:t>Fifteenmile</w:t>
      </w:r>
      <w:proofErr w:type="spellEnd"/>
      <w:r w:rsidRPr="005F582D">
        <w:rPr>
          <w:rFonts w:ascii="Calibri" w:eastAsia="Calibri" w:hAnsi="Calibri" w:cs="Times New Roman"/>
          <w:color w:val="000000"/>
        </w:rPr>
        <w:t xml:space="preserve"> Ck. Below Emerson</w:t>
      </w:r>
    </w:p>
    <w:p w:rsidR="005F582D" w:rsidRPr="005F582D" w:rsidRDefault="005F582D" w:rsidP="005F582D">
      <w:pPr>
        <w:numPr>
          <w:ilvl w:val="0"/>
          <w:numId w:val="2"/>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Other patterns…</w:t>
      </w: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keepNext/>
        <w:keepLines/>
        <w:spacing w:before="200" w:after="0" w:line="276" w:lineRule="auto"/>
        <w:outlineLvl w:val="1"/>
        <w:rPr>
          <w:rFonts w:ascii="Cambria" w:eastAsia="Times New Roman" w:hAnsi="Cambria" w:cs="Times New Roman"/>
          <w:b/>
          <w:bCs/>
          <w:color w:val="000000"/>
          <w:sz w:val="26"/>
          <w:szCs w:val="26"/>
        </w:rPr>
      </w:pPr>
      <w:r w:rsidRPr="005F582D">
        <w:rPr>
          <w:rFonts w:ascii="Cambria" w:eastAsia="Times New Roman" w:hAnsi="Cambria" w:cs="Times New Roman"/>
          <w:b/>
          <w:bCs/>
          <w:color w:val="000000"/>
          <w:sz w:val="26"/>
          <w:szCs w:val="26"/>
        </w:rPr>
        <w:t>Possible influencing factors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Slope (&lt;30 degrees?)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Aspect (apparent examples near Rice and Emerson), preference to north? Aversion to south? Flowing pattern preference for SE-facing?, possible problem is slope also “correlates” to aspect in places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Not on ridge crests?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Elevation above Missoula Floods?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Substrate/geology</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vegetation</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Shallow subsurface permeability contrast</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Slow mass wasting or erosion on gentle slopes</w:t>
      </w:r>
    </w:p>
    <w:p w:rsidR="005F582D" w:rsidRPr="005F582D" w:rsidRDefault="005F582D" w:rsidP="005F582D">
      <w:pPr>
        <w:numPr>
          <w:ilvl w:val="0"/>
          <w:numId w:val="3"/>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Gopher habitat – green vegetation, not too arid, </w:t>
      </w:r>
    </w:p>
    <w:p w:rsidR="005F582D" w:rsidRPr="005F582D" w:rsidRDefault="005F582D" w:rsidP="005F582D">
      <w:pPr>
        <w:keepNext/>
        <w:keepLines/>
        <w:spacing w:before="200" w:after="0" w:line="276" w:lineRule="auto"/>
        <w:outlineLvl w:val="1"/>
        <w:rPr>
          <w:rFonts w:ascii="Cambria" w:eastAsia="Times New Roman" w:hAnsi="Cambria" w:cs="Times New Roman"/>
          <w:b/>
          <w:bCs/>
          <w:color w:val="000000"/>
          <w:sz w:val="26"/>
          <w:szCs w:val="26"/>
        </w:rPr>
      </w:pPr>
      <w:r w:rsidRPr="005F582D">
        <w:rPr>
          <w:rFonts w:ascii="Cambria" w:eastAsia="Times New Roman" w:hAnsi="Cambria" w:cs="Times New Roman"/>
          <w:b/>
          <w:bCs/>
          <w:color w:val="000000"/>
          <w:sz w:val="26"/>
          <w:szCs w:val="26"/>
        </w:rPr>
        <w:t>Alternative hypotheses</w:t>
      </w:r>
    </w:p>
    <w:p w:rsidR="005F582D" w:rsidRPr="005F582D" w:rsidRDefault="005F582D" w:rsidP="005F582D">
      <w:pPr>
        <w:keepNext/>
        <w:keepLines/>
        <w:spacing w:before="200" w:after="0" w:line="276" w:lineRule="auto"/>
        <w:outlineLvl w:val="2"/>
        <w:rPr>
          <w:rFonts w:ascii="Cambria" w:eastAsia="Times New Roman" w:hAnsi="Cambria" w:cs="Times New Roman"/>
          <w:b/>
          <w:bCs/>
        </w:rPr>
      </w:pPr>
      <w:proofErr w:type="spellStart"/>
      <w:r w:rsidRPr="005F582D">
        <w:rPr>
          <w:rFonts w:ascii="Cambria" w:eastAsia="Times New Roman" w:hAnsi="Cambria" w:cs="Times New Roman"/>
          <w:b/>
          <w:bCs/>
        </w:rPr>
        <w:t>Periglacial</w:t>
      </w:r>
      <w:proofErr w:type="spellEnd"/>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(Green, 1982):</w:t>
      </w:r>
    </w:p>
    <w:p w:rsidR="005F582D" w:rsidRPr="005F582D" w:rsidRDefault="005F582D" w:rsidP="005F582D">
      <w:pPr>
        <w:numPr>
          <w:ilvl w:val="0"/>
          <w:numId w:val="4"/>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Contraction-crack polygons form in frozen ground</w:t>
      </w:r>
    </w:p>
    <w:p w:rsidR="005F582D" w:rsidRPr="005F582D" w:rsidRDefault="005F582D" w:rsidP="005F582D">
      <w:pPr>
        <w:numPr>
          <w:ilvl w:val="0"/>
          <w:numId w:val="4"/>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Ice wedges form in the voids (polygon edges </w:t>
      </w:r>
      <w:r w:rsidR="0082732B">
        <w:rPr>
          <w:rFonts w:ascii="Calibri" w:eastAsia="Calibri" w:hAnsi="Calibri" w:cs="Times New Roman"/>
          <w:color w:val="000000"/>
        </w:rPr>
        <w:t>)</w:t>
      </w:r>
      <w:bookmarkStart w:id="0" w:name="_GoBack"/>
      <w:bookmarkEnd w:id="0"/>
    </w:p>
    <w:p w:rsidR="005F582D" w:rsidRPr="005F582D" w:rsidRDefault="005F582D" w:rsidP="005F582D">
      <w:pPr>
        <w:numPr>
          <w:ilvl w:val="0"/>
          <w:numId w:val="4"/>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The ice wedges melt and their runoff erodes and modifies the polygons or mounds</w:t>
      </w:r>
    </w:p>
    <w:p w:rsidR="005F582D" w:rsidRPr="005F582D" w:rsidRDefault="005F582D" w:rsidP="005F582D">
      <w:pPr>
        <w:keepNext/>
        <w:keepLines/>
        <w:spacing w:before="200" w:after="0" w:line="276" w:lineRule="auto"/>
        <w:outlineLvl w:val="2"/>
        <w:rPr>
          <w:rFonts w:ascii="Cambria" w:eastAsia="Times New Roman" w:hAnsi="Cambria" w:cs="Times New Roman"/>
          <w:b/>
          <w:bCs/>
        </w:rPr>
      </w:pPr>
      <w:r w:rsidRPr="005F582D">
        <w:rPr>
          <w:rFonts w:ascii="Cambria" w:eastAsia="Times New Roman" w:hAnsi="Cambria" w:cs="Times New Roman"/>
          <w:b/>
          <w:bCs/>
        </w:rPr>
        <w:t>Pocket gophers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Pocket gophers are common in parts of the American west and numerous species have been documented in Oregon.  Moore and Reid (1951) note that although their presence is not always obvious, “</w:t>
      </w:r>
      <w:r w:rsidRPr="005F582D">
        <w:rPr>
          <w:rFonts w:ascii="Calibri" w:eastAsia="Calibri" w:hAnsi="Calibri" w:cs="Times New Roman"/>
          <w:i/>
          <w:color w:val="000000"/>
        </w:rPr>
        <w:t>dense populations can be easily recognized by the numerous soil mounds</w:t>
      </w:r>
      <w:r w:rsidRPr="005F582D">
        <w:rPr>
          <w:rFonts w:ascii="Calibri" w:eastAsia="Calibri" w:hAnsi="Calibri" w:cs="Times New Roman"/>
          <w:color w:val="000000"/>
        </w:rPr>
        <w:t xml:space="preserve">”. Moore and Reid study the </w:t>
      </w:r>
      <w:proofErr w:type="spellStart"/>
      <w:r w:rsidRPr="005F582D">
        <w:rPr>
          <w:rFonts w:ascii="Calibri" w:eastAsia="Calibri" w:hAnsi="Calibri" w:cs="Times New Roman"/>
          <w:color w:val="000000"/>
        </w:rPr>
        <w:t>Dalles</w:t>
      </w:r>
      <w:proofErr w:type="spellEnd"/>
      <w:r w:rsidRPr="005F582D">
        <w:rPr>
          <w:rFonts w:ascii="Calibri" w:eastAsia="Calibri" w:hAnsi="Calibri" w:cs="Times New Roman"/>
          <w:color w:val="000000"/>
        </w:rPr>
        <w:t xml:space="preserve"> pocket gopher (</w:t>
      </w:r>
      <w:proofErr w:type="spellStart"/>
      <w:r w:rsidRPr="005F582D">
        <w:rPr>
          <w:rFonts w:ascii="Calibri" w:eastAsia="Calibri" w:hAnsi="Calibri" w:cs="Times New Roman"/>
          <w:i/>
          <w:color w:val="000000"/>
        </w:rPr>
        <w:t>Thomomys</w:t>
      </w:r>
      <w:proofErr w:type="spellEnd"/>
      <w:r w:rsidRPr="005F582D">
        <w:rPr>
          <w:rFonts w:ascii="Calibri" w:eastAsia="Calibri" w:hAnsi="Calibri" w:cs="Times New Roman"/>
          <w:i/>
          <w:color w:val="000000"/>
        </w:rPr>
        <w:t xml:space="preserve"> </w:t>
      </w:r>
      <w:proofErr w:type="spellStart"/>
      <w:r w:rsidRPr="005F582D">
        <w:rPr>
          <w:rFonts w:ascii="Calibri" w:eastAsia="Calibri" w:hAnsi="Calibri" w:cs="Times New Roman"/>
          <w:i/>
          <w:color w:val="000000"/>
        </w:rPr>
        <w:t>talpoides</w:t>
      </w:r>
      <w:proofErr w:type="spellEnd"/>
      <w:r w:rsidRPr="005F582D">
        <w:rPr>
          <w:rFonts w:ascii="Calibri" w:eastAsia="Calibri" w:hAnsi="Calibri" w:cs="Times New Roman"/>
          <w:i/>
          <w:color w:val="000000"/>
        </w:rPr>
        <w:t xml:space="preserve"> </w:t>
      </w:r>
      <w:proofErr w:type="spellStart"/>
      <w:r w:rsidRPr="005F582D">
        <w:rPr>
          <w:rFonts w:ascii="Calibri" w:eastAsia="Calibri" w:hAnsi="Calibri" w:cs="Times New Roman"/>
          <w:i/>
          <w:color w:val="000000"/>
        </w:rPr>
        <w:t>quadratus</w:t>
      </w:r>
      <w:proofErr w:type="spellEnd"/>
      <w:r w:rsidRPr="005F582D">
        <w:rPr>
          <w:rFonts w:ascii="Calibri" w:eastAsia="Calibri" w:hAnsi="Calibri" w:cs="Times New Roman"/>
          <w:color w:val="000000"/>
        </w:rPr>
        <w:t xml:space="preserve">) and its effects on vegetation. The </w:t>
      </w:r>
      <w:proofErr w:type="spellStart"/>
      <w:r w:rsidRPr="005F582D">
        <w:rPr>
          <w:rFonts w:ascii="Calibri" w:eastAsia="Calibri" w:hAnsi="Calibri" w:cs="Times New Roman"/>
          <w:color w:val="000000"/>
        </w:rPr>
        <w:t>Dalles</w:t>
      </w:r>
      <w:proofErr w:type="spellEnd"/>
      <w:r w:rsidRPr="005F582D">
        <w:rPr>
          <w:rFonts w:ascii="Calibri" w:eastAsia="Calibri" w:hAnsi="Calibri" w:cs="Times New Roman"/>
          <w:color w:val="000000"/>
        </w:rPr>
        <w:t xml:space="preserve"> pocket gopher is common in sagebrush plains, especially in valley bottoms and meadowlands with some moisture and green vegetation, but it avoids wide stretches of arid uplands as well as densely forested areas (Moore and Reid, 1951). </w:t>
      </w:r>
      <w:proofErr w:type="spellStart"/>
      <w:r w:rsidRPr="005F582D">
        <w:rPr>
          <w:rFonts w:ascii="Calibri" w:eastAsia="Calibri" w:hAnsi="Calibri" w:cs="Times New Roman"/>
          <w:color w:val="000000"/>
        </w:rPr>
        <w:t>Dalles</w:t>
      </w:r>
      <w:proofErr w:type="spellEnd"/>
      <w:r w:rsidRPr="005F582D">
        <w:rPr>
          <w:rFonts w:ascii="Calibri" w:eastAsia="Calibri" w:hAnsi="Calibri" w:cs="Times New Roman"/>
          <w:color w:val="000000"/>
        </w:rPr>
        <w:t xml:space="preserve"> pocket gophers live in burrows made of underground runways and various cavities. The main runways are 5-8 cm wide, can be tens of meters long (“several hundred feet”), and most are within 30 cm of the ground surface. In addition to the runways, the gophers dig numerous feeding tunnels that are generally near the ground surface. Vertical shafts connect to a nest cavity that can be 0.5 to nearly 2 m deep. Spoils are deposited in mounds that can vary in size.  </w:t>
      </w:r>
    </w:p>
    <w:p w:rsidR="005F582D" w:rsidRPr="005F582D" w:rsidRDefault="005F582D" w:rsidP="005F582D">
      <w:pPr>
        <w:keepNext/>
        <w:spacing w:after="200" w:line="276" w:lineRule="auto"/>
        <w:rPr>
          <w:rFonts w:ascii="Calibri" w:eastAsia="Calibri" w:hAnsi="Calibri" w:cs="Times New Roman"/>
          <w:color w:val="000000"/>
        </w:rPr>
      </w:pPr>
      <w:r w:rsidRPr="005F582D">
        <w:rPr>
          <w:rFonts w:ascii="Calibri" w:eastAsia="Calibri" w:hAnsi="Calibri" w:cs="Times New Roman"/>
          <w:noProof/>
          <w:color w:val="000000"/>
        </w:rPr>
        <w:lastRenderedPageBreak/>
        <w:drawing>
          <wp:inline distT="0" distB="0" distL="0" distR="0" wp14:anchorId="3809F927" wp14:editId="71A8134C">
            <wp:extent cx="3529070" cy="5909626"/>
            <wp:effectExtent l="0" t="9207"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527331" cy="5906713"/>
                    </a:xfrm>
                    <a:prstGeom prst="rect">
                      <a:avLst/>
                    </a:prstGeom>
                    <a:noFill/>
                    <a:ln>
                      <a:noFill/>
                    </a:ln>
                  </pic:spPr>
                </pic:pic>
              </a:graphicData>
            </a:graphic>
          </wp:inline>
        </w:drawing>
      </w:r>
    </w:p>
    <w:p w:rsidR="005F582D" w:rsidRPr="005F582D" w:rsidRDefault="005F582D" w:rsidP="005F582D">
      <w:pPr>
        <w:spacing w:after="200" w:line="240" w:lineRule="auto"/>
        <w:rPr>
          <w:rFonts w:ascii="Calibri" w:eastAsia="Calibri" w:hAnsi="Calibri" w:cs="Times New Roman"/>
          <w:b/>
          <w:bCs/>
          <w:color w:val="4F81BD"/>
          <w:sz w:val="18"/>
          <w:szCs w:val="18"/>
        </w:rPr>
      </w:pPr>
      <w:r w:rsidRPr="005F582D">
        <w:rPr>
          <w:rFonts w:ascii="Calibri" w:eastAsia="Calibri" w:hAnsi="Calibri" w:cs="Times New Roman"/>
          <w:b/>
          <w:bCs/>
          <w:color w:val="4F81BD"/>
          <w:sz w:val="18"/>
          <w:szCs w:val="18"/>
        </w:rPr>
        <w:t xml:space="preserve">Figure </w:t>
      </w:r>
      <w:r w:rsidRPr="005F582D">
        <w:rPr>
          <w:rFonts w:ascii="Calibri" w:eastAsia="Calibri" w:hAnsi="Calibri" w:cs="Times New Roman"/>
          <w:b/>
          <w:bCs/>
          <w:color w:val="4F81BD"/>
          <w:sz w:val="18"/>
          <w:szCs w:val="18"/>
        </w:rPr>
        <w:fldChar w:fldCharType="begin"/>
      </w:r>
      <w:r w:rsidRPr="005F582D">
        <w:rPr>
          <w:rFonts w:ascii="Calibri" w:eastAsia="Calibri" w:hAnsi="Calibri" w:cs="Times New Roman"/>
          <w:b/>
          <w:bCs/>
          <w:color w:val="4F81BD"/>
          <w:sz w:val="18"/>
          <w:szCs w:val="18"/>
        </w:rPr>
        <w:instrText xml:space="preserve"> SEQ Figure \* ARABIC </w:instrText>
      </w:r>
      <w:r w:rsidRPr="005F582D">
        <w:rPr>
          <w:rFonts w:ascii="Calibri" w:eastAsia="Calibri" w:hAnsi="Calibri" w:cs="Times New Roman"/>
          <w:b/>
          <w:bCs/>
          <w:color w:val="4F81BD"/>
          <w:sz w:val="18"/>
          <w:szCs w:val="18"/>
        </w:rPr>
        <w:fldChar w:fldCharType="separate"/>
      </w:r>
      <w:r w:rsidRPr="005F582D">
        <w:rPr>
          <w:rFonts w:ascii="Calibri" w:eastAsia="Calibri" w:hAnsi="Calibri" w:cs="Times New Roman"/>
          <w:b/>
          <w:bCs/>
          <w:noProof/>
          <w:color w:val="4F81BD"/>
          <w:sz w:val="18"/>
          <w:szCs w:val="18"/>
        </w:rPr>
        <w:t>1</w:t>
      </w:r>
      <w:r w:rsidRPr="005F582D">
        <w:rPr>
          <w:rFonts w:ascii="Calibri" w:eastAsia="Calibri" w:hAnsi="Calibri" w:cs="Times New Roman"/>
          <w:b/>
          <w:bCs/>
          <w:color w:val="4F81BD"/>
          <w:sz w:val="18"/>
          <w:szCs w:val="18"/>
        </w:rPr>
        <w:fldChar w:fldCharType="end"/>
      </w:r>
      <w:r w:rsidRPr="005F582D">
        <w:rPr>
          <w:rFonts w:ascii="Calibri" w:eastAsia="Calibri" w:hAnsi="Calibri" w:cs="Times New Roman"/>
          <w:b/>
          <w:bCs/>
          <w:color w:val="4F81BD"/>
          <w:sz w:val="18"/>
          <w:szCs w:val="18"/>
        </w:rPr>
        <w:t>. Distribution of pocket gophers in Oregon (from Moore and Reid, 1951)</w:t>
      </w:r>
    </w:p>
    <w:p w:rsidR="005F582D" w:rsidRPr="005F582D" w:rsidRDefault="005F582D" w:rsidP="005F582D">
      <w:pPr>
        <w:keepNext/>
        <w:spacing w:after="200" w:line="276" w:lineRule="auto"/>
        <w:rPr>
          <w:rFonts w:ascii="Calibri" w:eastAsia="Calibri" w:hAnsi="Calibri" w:cs="Times New Roman"/>
          <w:color w:val="000000"/>
        </w:rPr>
      </w:pPr>
      <w:r w:rsidRPr="005F582D">
        <w:rPr>
          <w:rFonts w:ascii="Calibri" w:eastAsia="Calibri" w:hAnsi="Calibri" w:cs="Times New Roman"/>
          <w:noProof/>
          <w:color w:val="000000"/>
        </w:rPr>
        <w:drawing>
          <wp:inline distT="0" distB="0" distL="0" distR="0" wp14:anchorId="57F94B69" wp14:editId="11CEDE47">
            <wp:extent cx="4869815" cy="2987675"/>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9815" cy="2987675"/>
                    </a:xfrm>
                    <a:prstGeom prst="rect">
                      <a:avLst/>
                    </a:prstGeom>
                    <a:noFill/>
                    <a:ln>
                      <a:noFill/>
                    </a:ln>
                  </pic:spPr>
                </pic:pic>
              </a:graphicData>
            </a:graphic>
          </wp:inline>
        </w:drawing>
      </w:r>
    </w:p>
    <w:p w:rsidR="005F582D" w:rsidRPr="005F582D" w:rsidRDefault="005F582D" w:rsidP="005F582D">
      <w:pPr>
        <w:spacing w:after="200" w:line="240" w:lineRule="auto"/>
        <w:rPr>
          <w:rFonts w:ascii="Calibri" w:eastAsia="Calibri" w:hAnsi="Calibri" w:cs="Times New Roman"/>
          <w:b/>
          <w:bCs/>
          <w:color w:val="4F81BD"/>
          <w:sz w:val="18"/>
          <w:szCs w:val="18"/>
        </w:rPr>
      </w:pPr>
      <w:r w:rsidRPr="005F582D">
        <w:rPr>
          <w:rFonts w:ascii="Calibri" w:eastAsia="Calibri" w:hAnsi="Calibri" w:cs="Times New Roman"/>
          <w:b/>
          <w:bCs/>
          <w:color w:val="4F81BD"/>
          <w:sz w:val="18"/>
          <w:szCs w:val="18"/>
        </w:rPr>
        <w:t xml:space="preserve">Figure </w:t>
      </w:r>
      <w:r w:rsidRPr="005F582D">
        <w:rPr>
          <w:rFonts w:ascii="Calibri" w:eastAsia="Calibri" w:hAnsi="Calibri" w:cs="Times New Roman"/>
          <w:b/>
          <w:bCs/>
          <w:color w:val="4F81BD"/>
          <w:sz w:val="18"/>
          <w:szCs w:val="18"/>
        </w:rPr>
        <w:fldChar w:fldCharType="begin"/>
      </w:r>
      <w:r w:rsidRPr="005F582D">
        <w:rPr>
          <w:rFonts w:ascii="Calibri" w:eastAsia="Calibri" w:hAnsi="Calibri" w:cs="Times New Roman"/>
          <w:b/>
          <w:bCs/>
          <w:color w:val="4F81BD"/>
          <w:sz w:val="18"/>
          <w:szCs w:val="18"/>
        </w:rPr>
        <w:instrText xml:space="preserve"> SEQ Figure \* ARABIC </w:instrText>
      </w:r>
      <w:r w:rsidRPr="005F582D">
        <w:rPr>
          <w:rFonts w:ascii="Calibri" w:eastAsia="Calibri" w:hAnsi="Calibri" w:cs="Times New Roman"/>
          <w:b/>
          <w:bCs/>
          <w:color w:val="4F81BD"/>
          <w:sz w:val="18"/>
          <w:szCs w:val="18"/>
        </w:rPr>
        <w:fldChar w:fldCharType="separate"/>
      </w:r>
      <w:r w:rsidRPr="005F582D">
        <w:rPr>
          <w:rFonts w:ascii="Calibri" w:eastAsia="Calibri" w:hAnsi="Calibri" w:cs="Times New Roman"/>
          <w:b/>
          <w:bCs/>
          <w:noProof/>
          <w:color w:val="4F81BD"/>
          <w:sz w:val="18"/>
          <w:szCs w:val="18"/>
        </w:rPr>
        <w:t>2</w:t>
      </w:r>
      <w:r w:rsidRPr="005F582D">
        <w:rPr>
          <w:rFonts w:ascii="Calibri" w:eastAsia="Calibri" w:hAnsi="Calibri" w:cs="Times New Roman"/>
          <w:b/>
          <w:bCs/>
          <w:color w:val="4F81BD"/>
          <w:sz w:val="18"/>
          <w:szCs w:val="18"/>
        </w:rPr>
        <w:fldChar w:fldCharType="end"/>
      </w:r>
      <w:r w:rsidRPr="005F582D">
        <w:rPr>
          <w:rFonts w:ascii="Calibri" w:eastAsia="Calibri" w:hAnsi="Calibri" w:cs="Times New Roman"/>
          <w:b/>
          <w:bCs/>
          <w:color w:val="4F81BD"/>
          <w:sz w:val="18"/>
          <w:szCs w:val="18"/>
        </w:rPr>
        <w:t xml:space="preserve">. The </w:t>
      </w:r>
      <w:proofErr w:type="spellStart"/>
      <w:r w:rsidRPr="005F582D">
        <w:rPr>
          <w:rFonts w:ascii="Calibri" w:eastAsia="Calibri" w:hAnsi="Calibri" w:cs="Times New Roman"/>
          <w:b/>
          <w:bCs/>
          <w:color w:val="4F81BD"/>
          <w:sz w:val="18"/>
          <w:szCs w:val="18"/>
        </w:rPr>
        <w:t>Dalles</w:t>
      </w:r>
      <w:proofErr w:type="spellEnd"/>
      <w:r w:rsidRPr="005F582D">
        <w:rPr>
          <w:rFonts w:ascii="Calibri" w:eastAsia="Calibri" w:hAnsi="Calibri" w:cs="Times New Roman"/>
          <w:b/>
          <w:bCs/>
          <w:color w:val="4F81BD"/>
          <w:sz w:val="18"/>
          <w:szCs w:val="18"/>
        </w:rPr>
        <w:t xml:space="preserve"> pocket gopher (from Moore and Reid, 1951)</w:t>
      </w:r>
    </w:p>
    <w:p w:rsidR="005F582D" w:rsidRPr="005F582D" w:rsidRDefault="005F582D" w:rsidP="005F582D">
      <w:pPr>
        <w:keepNext/>
        <w:spacing w:after="200" w:line="276" w:lineRule="auto"/>
        <w:rPr>
          <w:rFonts w:ascii="Calibri" w:eastAsia="Calibri" w:hAnsi="Calibri" w:cs="Times New Roman"/>
          <w:color w:val="000000"/>
        </w:rPr>
      </w:pPr>
      <w:r w:rsidRPr="005F582D">
        <w:rPr>
          <w:rFonts w:ascii="Calibri" w:eastAsia="Calibri" w:hAnsi="Calibri" w:cs="Times New Roman"/>
          <w:color w:val="000000"/>
        </w:rPr>
        <w:lastRenderedPageBreak/>
        <w:t xml:space="preserve"> </w:t>
      </w:r>
      <w:r w:rsidRPr="005F582D">
        <w:rPr>
          <w:rFonts w:ascii="Calibri" w:eastAsia="Calibri" w:hAnsi="Calibri" w:cs="Times New Roman"/>
          <w:noProof/>
          <w:color w:val="000000"/>
        </w:rPr>
        <w:drawing>
          <wp:inline distT="0" distB="0" distL="0" distR="0" wp14:anchorId="4832092F" wp14:editId="42971D2D">
            <wp:extent cx="4827270" cy="448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7270" cy="4486910"/>
                    </a:xfrm>
                    <a:prstGeom prst="rect">
                      <a:avLst/>
                    </a:prstGeom>
                    <a:noFill/>
                    <a:ln>
                      <a:noFill/>
                    </a:ln>
                  </pic:spPr>
                </pic:pic>
              </a:graphicData>
            </a:graphic>
          </wp:inline>
        </w:drawing>
      </w:r>
    </w:p>
    <w:p w:rsidR="005F582D" w:rsidRPr="005F582D" w:rsidRDefault="005F582D" w:rsidP="005F582D">
      <w:pPr>
        <w:spacing w:after="200" w:line="240" w:lineRule="auto"/>
        <w:rPr>
          <w:rFonts w:ascii="Calibri" w:eastAsia="Calibri" w:hAnsi="Calibri" w:cs="Times New Roman"/>
          <w:b/>
          <w:bCs/>
          <w:color w:val="4F81BD"/>
          <w:sz w:val="18"/>
          <w:szCs w:val="18"/>
        </w:rPr>
      </w:pPr>
      <w:r w:rsidRPr="005F582D">
        <w:rPr>
          <w:rFonts w:ascii="Calibri" w:eastAsia="Calibri" w:hAnsi="Calibri" w:cs="Times New Roman"/>
          <w:b/>
          <w:bCs/>
          <w:color w:val="4F81BD"/>
          <w:sz w:val="18"/>
          <w:szCs w:val="18"/>
        </w:rPr>
        <w:t xml:space="preserve">Figure </w:t>
      </w:r>
      <w:r w:rsidRPr="005F582D">
        <w:rPr>
          <w:rFonts w:ascii="Calibri" w:eastAsia="Calibri" w:hAnsi="Calibri" w:cs="Times New Roman"/>
          <w:b/>
          <w:bCs/>
          <w:color w:val="4F81BD"/>
          <w:sz w:val="18"/>
          <w:szCs w:val="18"/>
        </w:rPr>
        <w:fldChar w:fldCharType="begin"/>
      </w:r>
      <w:r w:rsidRPr="005F582D">
        <w:rPr>
          <w:rFonts w:ascii="Calibri" w:eastAsia="Calibri" w:hAnsi="Calibri" w:cs="Times New Roman"/>
          <w:b/>
          <w:bCs/>
          <w:color w:val="4F81BD"/>
          <w:sz w:val="18"/>
          <w:szCs w:val="18"/>
        </w:rPr>
        <w:instrText xml:space="preserve"> SEQ Figure \* ARABIC </w:instrText>
      </w:r>
      <w:r w:rsidRPr="005F582D">
        <w:rPr>
          <w:rFonts w:ascii="Calibri" w:eastAsia="Calibri" w:hAnsi="Calibri" w:cs="Times New Roman"/>
          <w:b/>
          <w:bCs/>
          <w:color w:val="4F81BD"/>
          <w:sz w:val="18"/>
          <w:szCs w:val="18"/>
        </w:rPr>
        <w:fldChar w:fldCharType="separate"/>
      </w:r>
      <w:r w:rsidRPr="005F582D">
        <w:rPr>
          <w:rFonts w:ascii="Calibri" w:eastAsia="Calibri" w:hAnsi="Calibri" w:cs="Times New Roman"/>
          <w:b/>
          <w:bCs/>
          <w:noProof/>
          <w:color w:val="4F81BD"/>
          <w:sz w:val="18"/>
          <w:szCs w:val="18"/>
        </w:rPr>
        <w:t>3</w:t>
      </w:r>
      <w:r w:rsidRPr="005F582D">
        <w:rPr>
          <w:rFonts w:ascii="Calibri" w:eastAsia="Calibri" w:hAnsi="Calibri" w:cs="Times New Roman"/>
          <w:b/>
          <w:bCs/>
          <w:color w:val="4F81BD"/>
          <w:sz w:val="18"/>
          <w:szCs w:val="18"/>
        </w:rPr>
        <w:fldChar w:fldCharType="end"/>
      </w:r>
      <w:r w:rsidRPr="005F582D">
        <w:rPr>
          <w:rFonts w:ascii="Calibri" w:eastAsia="Calibri" w:hAnsi="Calibri" w:cs="Times New Roman"/>
          <w:b/>
          <w:bCs/>
          <w:color w:val="4F81BD"/>
          <w:sz w:val="18"/>
          <w:szCs w:val="18"/>
        </w:rPr>
        <w:t>. Figure 1 of Moore and Reid showing pocket gopher mounds in eastern Oregon.</w:t>
      </w:r>
    </w:p>
    <w:p w:rsidR="005F582D" w:rsidRPr="005F582D" w:rsidRDefault="005F582D" w:rsidP="005F582D">
      <w:pPr>
        <w:keepNext/>
        <w:keepLines/>
        <w:spacing w:before="200" w:after="0" w:line="276" w:lineRule="auto"/>
        <w:outlineLvl w:val="2"/>
        <w:rPr>
          <w:rFonts w:ascii="Cambria" w:eastAsia="Times New Roman" w:hAnsi="Cambria" w:cs="Times New Roman"/>
          <w:b/>
          <w:bCs/>
        </w:rPr>
      </w:pPr>
      <w:r w:rsidRPr="005F582D">
        <w:rPr>
          <w:rFonts w:ascii="Cambria" w:eastAsia="Times New Roman" w:hAnsi="Cambria" w:cs="Times New Roman"/>
          <w:b/>
          <w:bCs/>
        </w:rPr>
        <w:t>Wind?</w:t>
      </w:r>
    </w:p>
    <w:p w:rsidR="005F582D" w:rsidRPr="005F582D" w:rsidRDefault="005F582D" w:rsidP="005F582D">
      <w:pPr>
        <w:keepNext/>
        <w:keepLines/>
        <w:spacing w:before="200" w:after="0" w:line="276" w:lineRule="auto"/>
        <w:outlineLvl w:val="2"/>
        <w:rPr>
          <w:rFonts w:ascii="Cambria" w:eastAsia="Times New Roman" w:hAnsi="Cambria" w:cs="Times New Roman"/>
          <w:b/>
          <w:bCs/>
        </w:rPr>
      </w:pPr>
      <w:r w:rsidRPr="005F582D">
        <w:rPr>
          <w:rFonts w:ascii="Cambria" w:eastAsia="Times New Roman" w:hAnsi="Cambria" w:cs="Times New Roman"/>
          <w:b/>
          <w:bCs/>
        </w:rPr>
        <w:t>Erosion during peculiar circumstances (</w:t>
      </w:r>
      <w:proofErr w:type="spellStart"/>
      <w:r w:rsidRPr="005F582D">
        <w:rPr>
          <w:rFonts w:ascii="Cambria" w:eastAsia="Times New Roman" w:hAnsi="Cambria" w:cs="Times New Roman"/>
          <w:b/>
          <w:bCs/>
        </w:rPr>
        <w:t>LeConte</w:t>
      </w:r>
      <w:proofErr w:type="spellEnd"/>
      <w:r w:rsidRPr="005F582D">
        <w:rPr>
          <w:rFonts w:ascii="Cambria" w:eastAsia="Times New Roman" w:hAnsi="Cambria" w:cs="Times New Roman"/>
          <w:b/>
          <w:bCs/>
        </w:rPr>
        <w:t>)</w:t>
      </w: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keepNext/>
        <w:keepLines/>
        <w:spacing w:before="200" w:after="0" w:line="276" w:lineRule="auto"/>
        <w:outlineLvl w:val="2"/>
        <w:rPr>
          <w:rFonts w:ascii="Cambria" w:eastAsia="Times New Roman" w:hAnsi="Cambria" w:cs="Times New Roman"/>
          <w:b/>
          <w:bCs/>
        </w:rPr>
      </w:pPr>
      <w:r w:rsidRPr="005F582D">
        <w:rPr>
          <w:rFonts w:ascii="Cambria" w:eastAsia="Times New Roman" w:hAnsi="Cambria" w:cs="Times New Roman"/>
          <w:b/>
          <w:bCs/>
        </w:rPr>
        <w:t xml:space="preserve">Combination of </w:t>
      </w:r>
      <w:proofErr w:type="spellStart"/>
      <w:r w:rsidRPr="005F582D">
        <w:rPr>
          <w:rFonts w:ascii="Cambria" w:eastAsia="Times New Roman" w:hAnsi="Cambria" w:cs="Times New Roman"/>
          <w:b/>
          <w:bCs/>
        </w:rPr>
        <w:t>periglacial</w:t>
      </w:r>
      <w:proofErr w:type="spellEnd"/>
      <w:r w:rsidRPr="005F582D">
        <w:rPr>
          <w:rFonts w:ascii="Cambria" w:eastAsia="Times New Roman" w:hAnsi="Cambria" w:cs="Times New Roman"/>
          <w:b/>
          <w:bCs/>
        </w:rPr>
        <w:t xml:space="preserve"> and biogenic</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Johnson and Johnson (2012) studied mounds on the Modoc Plateau north and northeast of Mount Shasta in northeastern California. They propose a model of mound development (in coarse glacial outwash deposits) where:</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Landscape stability (cessation of outwash)</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Frost heaving brings stones to the surface forming a “sorted stone pavement”</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Finer material is deposited on the stone pavement (by flooding)</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Established biotic habitation</w:t>
      </w:r>
    </w:p>
    <w:p w:rsidR="005F582D" w:rsidRPr="005F582D" w:rsidRDefault="005F582D" w:rsidP="005F582D">
      <w:pPr>
        <w:numPr>
          <w:ilvl w:val="1"/>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Colonization and </w:t>
      </w:r>
      <w:proofErr w:type="spellStart"/>
      <w:r w:rsidRPr="005F582D">
        <w:rPr>
          <w:rFonts w:ascii="Calibri" w:eastAsia="Calibri" w:hAnsi="Calibri" w:cs="Times New Roman"/>
          <w:color w:val="000000"/>
        </w:rPr>
        <w:t>bioturbation</w:t>
      </w:r>
      <w:proofErr w:type="spellEnd"/>
      <w:r w:rsidRPr="005F582D">
        <w:rPr>
          <w:rFonts w:ascii="Calibri" w:eastAsia="Calibri" w:hAnsi="Calibri" w:cs="Times New Roman"/>
          <w:color w:val="000000"/>
        </w:rPr>
        <w:t xml:space="preserve"> by burrowing animals (northern pocket gophers), </w:t>
      </w:r>
    </w:p>
    <w:p w:rsidR="005F582D" w:rsidRPr="005F582D" w:rsidRDefault="005F582D" w:rsidP="005F582D">
      <w:pPr>
        <w:numPr>
          <w:ilvl w:val="1"/>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movement of soil toward center forming insipient mound/</w:t>
      </w:r>
      <w:proofErr w:type="spellStart"/>
      <w:r w:rsidRPr="005F582D">
        <w:rPr>
          <w:rFonts w:ascii="Calibri" w:eastAsia="Calibri" w:hAnsi="Calibri" w:cs="Times New Roman"/>
          <w:color w:val="000000"/>
        </w:rPr>
        <w:t>intermound</w:t>
      </w:r>
      <w:proofErr w:type="spellEnd"/>
    </w:p>
    <w:p w:rsidR="005F582D" w:rsidRPr="005F582D" w:rsidRDefault="005F582D" w:rsidP="005F582D">
      <w:pPr>
        <w:numPr>
          <w:ilvl w:val="1"/>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lastRenderedPageBreak/>
        <w:t xml:space="preserve">soil development, including </w:t>
      </w:r>
      <w:proofErr w:type="spellStart"/>
      <w:r w:rsidRPr="005F582D">
        <w:rPr>
          <w:rFonts w:ascii="Calibri" w:eastAsia="Calibri" w:hAnsi="Calibri" w:cs="Times New Roman"/>
          <w:color w:val="000000"/>
        </w:rPr>
        <w:t>duripan</w:t>
      </w:r>
      <w:proofErr w:type="spellEnd"/>
      <w:r w:rsidRPr="005F582D">
        <w:rPr>
          <w:rFonts w:ascii="Calibri" w:eastAsia="Calibri" w:hAnsi="Calibri" w:cs="Times New Roman"/>
          <w:color w:val="000000"/>
        </w:rPr>
        <w:t xml:space="preserve"> below zone of </w:t>
      </w:r>
      <w:proofErr w:type="spellStart"/>
      <w:r w:rsidRPr="005F582D">
        <w:rPr>
          <w:rFonts w:ascii="Calibri" w:eastAsia="Calibri" w:hAnsi="Calibri" w:cs="Times New Roman"/>
          <w:color w:val="000000"/>
        </w:rPr>
        <w:t>bioturbation</w:t>
      </w:r>
      <w:proofErr w:type="spellEnd"/>
    </w:p>
    <w:p w:rsidR="005F582D" w:rsidRPr="005F582D" w:rsidRDefault="005F582D" w:rsidP="005F582D">
      <w:pPr>
        <w:numPr>
          <w:ilvl w:val="1"/>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porous interflow zone above </w:t>
      </w:r>
      <w:proofErr w:type="spellStart"/>
      <w:r w:rsidRPr="005F582D">
        <w:rPr>
          <w:rFonts w:ascii="Calibri" w:eastAsia="Calibri" w:hAnsi="Calibri" w:cs="Times New Roman"/>
          <w:color w:val="000000"/>
        </w:rPr>
        <w:t>duripan</w:t>
      </w:r>
      <w:proofErr w:type="spellEnd"/>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More pronounced </w:t>
      </w:r>
      <w:proofErr w:type="spellStart"/>
      <w:r w:rsidRPr="005F582D">
        <w:rPr>
          <w:rFonts w:ascii="Calibri" w:eastAsia="Calibri" w:hAnsi="Calibri" w:cs="Times New Roman"/>
          <w:color w:val="000000"/>
        </w:rPr>
        <w:t>bioturbation</w:t>
      </w:r>
      <w:proofErr w:type="spellEnd"/>
      <w:r w:rsidRPr="005F582D">
        <w:rPr>
          <w:rFonts w:ascii="Calibri" w:eastAsia="Calibri" w:hAnsi="Calibri" w:cs="Times New Roman"/>
          <w:color w:val="000000"/>
        </w:rPr>
        <w:t>, development of incipient daughter mounds, downward movement of large clasts (</w:t>
      </w:r>
      <w:proofErr w:type="spellStart"/>
      <w:r w:rsidRPr="005F582D">
        <w:rPr>
          <w:rFonts w:ascii="Calibri" w:eastAsia="Calibri" w:hAnsi="Calibri" w:cs="Times New Roman"/>
          <w:color w:val="000000"/>
        </w:rPr>
        <w:t>bioturbation</w:t>
      </w:r>
      <w:proofErr w:type="spellEnd"/>
      <w:r w:rsidRPr="005F582D">
        <w:rPr>
          <w:rFonts w:ascii="Calibri" w:eastAsia="Calibri" w:hAnsi="Calibri" w:cs="Times New Roman"/>
          <w:color w:val="000000"/>
        </w:rPr>
        <w:t xml:space="preserve"> caused), erosion of fines by overland flow and </w:t>
      </w:r>
      <w:proofErr w:type="spellStart"/>
      <w:r w:rsidRPr="005F582D">
        <w:rPr>
          <w:rFonts w:ascii="Calibri" w:eastAsia="Calibri" w:hAnsi="Calibri" w:cs="Times New Roman"/>
          <w:color w:val="000000"/>
        </w:rPr>
        <w:t>subdrainage</w:t>
      </w:r>
      <w:proofErr w:type="spellEnd"/>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Incipient stone gutters, concentration of water at mound perimeters promotes frost sorting and flushing of fines, </w:t>
      </w:r>
      <w:proofErr w:type="spellStart"/>
      <w:r w:rsidRPr="005F582D">
        <w:rPr>
          <w:rFonts w:ascii="Calibri" w:eastAsia="Calibri" w:hAnsi="Calibri" w:cs="Times New Roman"/>
          <w:color w:val="000000"/>
        </w:rPr>
        <w:t>duripan</w:t>
      </w:r>
      <w:proofErr w:type="spellEnd"/>
      <w:r w:rsidRPr="005F582D">
        <w:rPr>
          <w:rFonts w:ascii="Calibri" w:eastAsia="Calibri" w:hAnsi="Calibri" w:cs="Times New Roman"/>
          <w:color w:val="000000"/>
        </w:rPr>
        <w:t xml:space="preserve"> becomes </w:t>
      </w:r>
      <w:proofErr w:type="spellStart"/>
      <w:r w:rsidRPr="005F582D">
        <w:rPr>
          <w:rFonts w:ascii="Calibri" w:eastAsia="Calibri" w:hAnsi="Calibri" w:cs="Times New Roman"/>
          <w:color w:val="000000"/>
        </w:rPr>
        <w:t>aquaclude</w:t>
      </w:r>
      <w:proofErr w:type="spellEnd"/>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Fixed activity centers (prairie mounds) are survival-reproductive advantages for burrowing animals</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 xml:space="preserve">Maintenance by frost sorting, </w:t>
      </w:r>
      <w:proofErr w:type="spellStart"/>
      <w:r w:rsidRPr="005F582D">
        <w:rPr>
          <w:rFonts w:ascii="Calibri" w:eastAsia="Calibri" w:hAnsi="Calibri" w:cs="Times New Roman"/>
          <w:color w:val="000000"/>
        </w:rPr>
        <w:t>duripan</w:t>
      </w:r>
      <w:proofErr w:type="spellEnd"/>
      <w:r w:rsidRPr="005F582D">
        <w:rPr>
          <w:rFonts w:ascii="Calibri" w:eastAsia="Calibri" w:hAnsi="Calibri" w:cs="Times New Roman"/>
          <w:color w:val="000000"/>
        </w:rPr>
        <w:t xml:space="preserve"> functions as </w:t>
      </w:r>
      <w:proofErr w:type="spellStart"/>
      <w:r w:rsidRPr="005F582D">
        <w:rPr>
          <w:rFonts w:ascii="Calibri" w:eastAsia="Calibri" w:hAnsi="Calibri" w:cs="Times New Roman"/>
          <w:color w:val="000000"/>
        </w:rPr>
        <w:t>aquaclude</w:t>
      </w:r>
      <w:proofErr w:type="spellEnd"/>
      <w:r w:rsidRPr="005F582D">
        <w:rPr>
          <w:rFonts w:ascii="Calibri" w:eastAsia="Calibri" w:hAnsi="Calibri" w:cs="Times New Roman"/>
          <w:color w:val="000000"/>
        </w:rPr>
        <w:t>, sorted rock gutters act as French drain facilitating runoff and removal of fines</w:t>
      </w:r>
    </w:p>
    <w:p w:rsidR="005F582D" w:rsidRPr="005F582D" w:rsidRDefault="005F582D" w:rsidP="005F582D">
      <w:pPr>
        <w:numPr>
          <w:ilvl w:val="0"/>
          <w:numId w:val="5"/>
        </w:numPr>
        <w:spacing w:after="200" w:line="276" w:lineRule="auto"/>
        <w:contextualSpacing/>
        <w:rPr>
          <w:rFonts w:ascii="Calibri" w:eastAsia="Calibri" w:hAnsi="Calibri" w:cs="Times New Roman"/>
          <w:color w:val="000000"/>
        </w:rPr>
      </w:pPr>
      <w:r w:rsidRPr="005F582D">
        <w:rPr>
          <w:rFonts w:ascii="Calibri" w:eastAsia="Calibri" w:hAnsi="Calibri" w:cs="Times New Roman"/>
          <w:color w:val="000000"/>
        </w:rPr>
        <w:t>Erosion if no further deposition, such as by wind</w:t>
      </w:r>
    </w:p>
    <w:p w:rsidR="005F582D" w:rsidRPr="005F582D" w:rsidRDefault="005F582D" w:rsidP="005F582D">
      <w:pPr>
        <w:spacing w:after="200" w:line="276" w:lineRule="auto"/>
        <w:rPr>
          <w:rFonts w:ascii="Calibri" w:eastAsia="Calibri" w:hAnsi="Calibri" w:cs="Times New Roman"/>
          <w:color w:val="000000"/>
        </w:rPr>
      </w:pP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noProof/>
          <w:color w:val="000000"/>
        </w:rPr>
        <w:lastRenderedPageBreak/>
        <w:drawing>
          <wp:inline distT="0" distB="0" distL="0" distR="0" wp14:anchorId="3A471DAA" wp14:editId="5549E630">
            <wp:extent cx="5943600" cy="6820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820210"/>
                    </a:xfrm>
                    <a:prstGeom prst="rect">
                      <a:avLst/>
                    </a:prstGeom>
                    <a:noFill/>
                    <a:ln>
                      <a:noFill/>
                    </a:ln>
                  </pic:spPr>
                </pic:pic>
              </a:graphicData>
            </a:graphic>
          </wp:inline>
        </w:drawing>
      </w:r>
      <w:r w:rsidRPr="005F582D">
        <w:rPr>
          <w:rFonts w:ascii="Calibri" w:eastAsia="Calibri" w:hAnsi="Calibri" w:cs="Times New Roman"/>
          <w:color w:val="000000"/>
        </w:rPr>
        <w:t xml:space="preserve"> </w:t>
      </w:r>
    </w:p>
    <w:p w:rsidR="005F582D" w:rsidRPr="005F582D" w:rsidRDefault="005F582D" w:rsidP="005F582D">
      <w:pPr>
        <w:keepNext/>
        <w:keepLines/>
        <w:spacing w:before="200" w:after="0" w:line="276" w:lineRule="auto"/>
        <w:outlineLvl w:val="1"/>
        <w:rPr>
          <w:rFonts w:ascii="Cambria" w:eastAsia="Times New Roman" w:hAnsi="Cambria" w:cs="Times New Roman"/>
          <w:b/>
          <w:bCs/>
          <w:color w:val="000000"/>
          <w:sz w:val="26"/>
          <w:szCs w:val="26"/>
        </w:rPr>
      </w:pPr>
      <w:r w:rsidRPr="005F582D">
        <w:rPr>
          <w:rFonts w:ascii="Cambria" w:eastAsia="Times New Roman" w:hAnsi="Cambria" w:cs="Times New Roman"/>
          <w:b/>
          <w:bCs/>
          <w:color w:val="000000"/>
          <w:sz w:val="26"/>
          <w:szCs w:val="26"/>
        </w:rPr>
        <w:t>Mound references</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Green, G.L., 1982, Soil Survey of Wasco County, Oregon, northern part: U.S. Department of Agriculture Soil Conservation Service</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 xml:space="preserve">Johnson, D.L., 2012, Appendix B. Early Prairie mound observations by two celebrated geologists: Joseph </w:t>
      </w:r>
      <w:proofErr w:type="spellStart"/>
      <w:r w:rsidRPr="005F582D">
        <w:rPr>
          <w:rFonts w:ascii="Calibri" w:eastAsia="Calibri" w:hAnsi="Calibri" w:cs="Times New Roman"/>
          <w:color w:val="000000"/>
        </w:rPr>
        <w:t>LeConte</w:t>
      </w:r>
      <w:proofErr w:type="spellEnd"/>
      <w:r w:rsidRPr="005F582D">
        <w:rPr>
          <w:rFonts w:ascii="Calibri" w:eastAsia="Calibri" w:hAnsi="Calibri" w:cs="Times New Roman"/>
          <w:color w:val="000000"/>
        </w:rPr>
        <w:t xml:space="preserve"> and Grove Karl Gilbert: Geological Society of America Special Papers, v. 490, p. 173-178.</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lastRenderedPageBreak/>
        <w:t xml:space="preserve">Johnson, D.L., Johnson, D.N., 2012, </w:t>
      </w:r>
      <w:proofErr w:type="gramStart"/>
      <w:r w:rsidRPr="005F582D">
        <w:rPr>
          <w:rFonts w:ascii="Calibri" w:eastAsia="Calibri" w:hAnsi="Calibri" w:cs="Times New Roman"/>
          <w:color w:val="000000"/>
        </w:rPr>
        <w:t>The</w:t>
      </w:r>
      <w:proofErr w:type="gramEnd"/>
      <w:r w:rsidRPr="005F582D">
        <w:rPr>
          <w:rFonts w:ascii="Calibri" w:eastAsia="Calibri" w:hAnsi="Calibri" w:cs="Times New Roman"/>
          <w:color w:val="000000"/>
        </w:rPr>
        <w:t xml:space="preserve"> polygenetic origin of prairie mounds in northeastern California: Geological Society of America Special Papers, v. 490, p. 135-159.</w:t>
      </w:r>
    </w:p>
    <w:p w:rsidR="005F582D" w:rsidRPr="005F582D" w:rsidRDefault="005F582D" w:rsidP="005F582D">
      <w:pPr>
        <w:spacing w:after="200" w:line="276" w:lineRule="auto"/>
        <w:rPr>
          <w:rFonts w:ascii="Calibri" w:eastAsia="Calibri" w:hAnsi="Calibri" w:cs="Times New Roman"/>
          <w:color w:val="000000"/>
        </w:rPr>
      </w:pPr>
      <w:proofErr w:type="spellStart"/>
      <w:r w:rsidRPr="005F582D">
        <w:rPr>
          <w:rFonts w:ascii="Calibri" w:eastAsia="Calibri" w:hAnsi="Calibri" w:cs="Times New Roman"/>
          <w:color w:val="000000"/>
        </w:rPr>
        <w:t>LeConte</w:t>
      </w:r>
      <w:proofErr w:type="spellEnd"/>
      <w:r w:rsidRPr="005F582D">
        <w:rPr>
          <w:rFonts w:ascii="Calibri" w:eastAsia="Calibri" w:hAnsi="Calibri" w:cs="Times New Roman"/>
          <w:color w:val="000000"/>
        </w:rPr>
        <w:t>, J., 1874, On the great lava-flood of the Northwest and on the structure and age of the Cascade Mountains: American Journal of Science, v. Series 3 Vol. 7, no. 40, p. 259-366.</w:t>
      </w:r>
    </w:p>
    <w:p w:rsidR="005F582D" w:rsidRPr="005F582D" w:rsidRDefault="005F582D" w:rsidP="005F582D">
      <w:pPr>
        <w:spacing w:after="200" w:line="276" w:lineRule="auto"/>
        <w:rPr>
          <w:rFonts w:ascii="Calibri" w:eastAsia="Calibri" w:hAnsi="Calibri" w:cs="Times New Roman"/>
          <w:color w:val="000000"/>
        </w:rPr>
      </w:pPr>
      <w:r w:rsidRPr="005F582D">
        <w:rPr>
          <w:rFonts w:ascii="Calibri" w:eastAsia="Calibri" w:hAnsi="Calibri" w:cs="Times New Roman"/>
          <w:color w:val="000000"/>
        </w:rPr>
        <w:t xml:space="preserve">Moore, A.W., and Reid, E.H., 1951, The </w:t>
      </w:r>
      <w:proofErr w:type="spellStart"/>
      <w:r w:rsidRPr="005F582D">
        <w:rPr>
          <w:rFonts w:ascii="Calibri" w:eastAsia="Calibri" w:hAnsi="Calibri" w:cs="Times New Roman"/>
          <w:color w:val="000000"/>
        </w:rPr>
        <w:t>Dalles</w:t>
      </w:r>
      <w:proofErr w:type="spellEnd"/>
      <w:r w:rsidRPr="005F582D">
        <w:rPr>
          <w:rFonts w:ascii="Calibri" w:eastAsia="Calibri" w:hAnsi="Calibri" w:cs="Times New Roman"/>
          <w:color w:val="000000"/>
        </w:rPr>
        <w:t xml:space="preserve"> pocket gopher and its influence on forage production of Oregon mountain meadows: Washington, D.C. </w:t>
      </w:r>
    </w:p>
    <w:p w:rsidR="000D1B78" w:rsidRDefault="000D1B78"/>
    <w:sectPr w:rsidR="000D1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D6039"/>
    <w:multiLevelType w:val="hybridMultilevel"/>
    <w:tmpl w:val="653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F7915"/>
    <w:multiLevelType w:val="hybridMultilevel"/>
    <w:tmpl w:val="CC06A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C83205"/>
    <w:multiLevelType w:val="hybridMultilevel"/>
    <w:tmpl w:val="2DE86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C27FE0"/>
    <w:multiLevelType w:val="hybridMultilevel"/>
    <w:tmpl w:val="1500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833A25"/>
    <w:multiLevelType w:val="hybridMultilevel"/>
    <w:tmpl w:val="D49AB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82D"/>
    <w:rsid w:val="000D1B78"/>
    <w:rsid w:val="005F582D"/>
    <w:rsid w:val="0082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3D4DA-598B-445F-928D-EFFC55B1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Charles</dc:creator>
  <cp:keywords/>
  <dc:description/>
  <cp:lastModifiedBy>Cannon, Charles</cp:lastModifiedBy>
  <cp:revision>2</cp:revision>
  <dcterms:created xsi:type="dcterms:W3CDTF">2015-03-18T18:41:00Z</dcterms:created>
  <dcterms:modified xsi:type="dcterms:W3CDTF">2015-03-18T18:47:00Z</dcterms:modified>
</cp:coreProperties>
</file>